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habi/acinar-analysis-manuscript@a18ba04</w:t>
        </w:r>
      </w:hyperlink>
      <w:r>
        <w:t xml:space="preserve"> </w:t>
      </w:r>
      <w:r>
        <w:t xml:space="preserve">on January 18, 2021.</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saccular: E20 to postnatal day P4)</w:t>
      </w:r>
      <w:r>
        <w:t xml:space="preserve">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w:t>
      </w:r>
      <w:r>
        <w:t xml:space="preserve">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w:t>
      </w:r>
      <w:r>
        <w:t xml:space="preserv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w:t>
      </w:r>
      <w:r>
        <w:t xml:space="preserve">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w:t>
      </w:r>
      <w:r>
        <w:t xml:space="preserve">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w:t>
      </w:r>
      <w:r>
        <w:t xml:space="preserve">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w:t>
      </w:r>
      <w:r>
        <w:t xml:space="preserve">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w:t>
      </w:r>
      <w:r>
        <w:t xml:space="preserve">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w:t>
      </w:r>
      <w:r>
        <w:t xml:space="preserve">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51</w:t>
        </w:r>
      </w:hyperlink>
      <w:r>
        <w:t xml:space="preserve">)</w:t>
      </w:r>
      <w:r>
        <w:t xml:space="preserve"> </w:t>
      </w:r>
      <w:r>
        <w:t xml:space="preserve">or sectioned silicone casts</w:t>
      </w:r>
      <w:r>
        <w:t xml:space="preserve">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Haberthür et al. </w:t>
      </w:r>
      <w:r>
        <w:t xml:space="preserve">(</w:t>
      </w:r>
      <w:hyperlink w:anchor="ref-7YLeeyu">
        <w:r>
          <w:rPr>
            <w:rStyle w:val="Hyperlink"/>
          </w:rPr>
          <w:t xml:space="preserve">11</w:t>
        </w:r>
      </w:hyperlink>
      <w:r>
        <w:t xml:space="preserve">)</w:t>
      </w:r>
      <w:r>
        <w:t xml:space="preserve"> </w:t>
      </w:r>
      <w:r>
        <w:t xml:space="preserve">analyzed the volume, surface area, and number of alveoli of 43 individual acini of three adult rats (day 60) in tomographic datasets obtained by synchrotron radiation based X-ray tomographic microscopy.</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w:t>
      </w:r>
      <w:r>
        <w:t xml:space="preserve">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w:t>
      </w:r>
      <w:r>
        <w:t xml:space="preserve"> </w:t>
      </w:r>
      <w:r>
        <w:t xml:space="preserve">(</w:t>
      </w:r>
      <w:hyperlink w:anchor="ref-199ALtdJt">
        <w:r>
          <w:rPr>
            <w:rStyle w:val="Hyperlink"/>
          </w:rPr>
          <w:t xml:space="preserve">54</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w:t>
      </w:r>
      <w:r>
        <w:t xml:space="preserve">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w:t>
      </w:r>
      <w:r>
        <w:t xml:space="preserve">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w:t>
      </w:r>
      <w:r>
        <w:t xml:space="preserve">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w:t>
      </w:r>
      <w:r>
        <w:t xml:space="preserve">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w:t>
      </w:r>
      <w:r>
        <w:t xml:space="preserve">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w:t>
      </w:r>
      <w:r>
        <w:t xml:space="preserve">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w:t>
      </w:r>
      <w:r>
        <w:t xml:space="preserve">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w:t>
      </w:r>
      <w:r>
        <w:t xml:space="preserv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w:t>
      </w:r>
      <w:r>
        <w:t xml:space="preserve">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w:t>
      </w:r>
      <w:r>
        <w:t xml:space="preserve">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w:t>
      </w:r>
      <w:r>
        <w:t xml:space="preserve">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w:t>
      </w:r>
      <w:r>
        <w:t xml:space="preserve">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w:t>
      </w:r>
      <w:r>
        <w:t xml:space="preserve">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w:t>
      </w:r>
      <w:r>
        <w:t xml:space="preserve">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w:t>
      </w:r>
      <w:r>
        <w:t xml:space="preserve">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w:t>
      </w:r>
      <w:r>
        <w:t xml:space="preserve">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alveoli, for day 10 1.23 ± 0.39 million alveoli, for day 21 2.65 ± 0.57 million alveoli, and for day 60 3.01 ± 0.34 million alveoli.</w:t>
      </w:r>
      <w:r>
        <w:t xml:space="preserve"> </w:t>
      </w:r>
      <w:r>
        <w:t xml:space="preserve">The total number of acini was estimated by dividing the mean parenchymal volume of the lungs</w:t>
      </w:r>
      <w:r>
        <w:t xml:space="preserve">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r>
        <w:t xml:space="preserve"> </w:t>
      </w:r>
      <w:r>
        <w:t xml:space="preserve">To calculate this data we had to use data from three different studies performed by three different teams using two different strains of animals (i.e. current data, Tschanz et al. </w:t>
      </w:r>
      <w:r>
        <w:t xml:space="preserve">(</w:t>
      </w:r>
      <w:hyperlink w:anchor="ref-wnl86DEM">
        <w:r>
          <w:rPr>
            <w:rStyle w:val="Hyperlink"/>
          </w:rPr>
          <w:t xml:space="preserve">46</w:t>
        </w:r>
      </w:hyperlink>
      <w:r>
        <w:t xml:space="preserve">)</w:t>
      </w:r>
      <w:r>
        <w:t xml:space="preserve">, and Barre et al. </w:t>
      </w:r>
      <w:r>
        <w:t xml:space="preserve">(</w:t>
      </w:r>
      <w:hyperlink w:anchor="ref-uFNlWogb">
        <w:r>
          <w:rPr>
            <w:rStyle w:val="Hyperlink"/>
          </w:rPr>
          <w:t xml:space="preserve">3</w:t>
        </w:r>
      </w:hyperlink>
      <w:r>
        <w:t xml:space="preserve">)</w:t>
      </w:r>
      <w:r>
        <w:t xml:space="preserve">).</w:t>
      </w:r>
      <w:r>
        <w:t xml:space="preserve"> </w:t>
      </w:r>
      <w:r>
        <w:t xml:space="preserve">Therefore, we had to accept that error propagation may cause a significant blurring of our results.</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w:t>
      </w:r>
      <w:r>
        <w:t xml:space="preserve">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w:t>
      </w:r>
      <w:r>
        <w:t xml:space="preserve"> </w:t>
      </w:r>
      <w:r>
        <w:t xml:space="preserve">(</w:t>
      </w:r>
      <w:hyperlink w:anchor="ref-I9TmP6IU">
        <w:r>
          <w:rPr>
            <w:rStyle w:val="Hyperlink"/>
          </w:rPr>
          <w:t xml:space="preserve">53</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53</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w:t>
      </w:r>
      <w:r>
        <w:t xml:space="preserve">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w:t>
      </w:r>
      <w:r>
        <w:t xml:space="preserv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w:t>
      </w:r>
      <w:r>
        <w:t xml:space="preserve"> </w:t>
      </w:r>
      <w:hyperlink w:anchor="introduction">
        <w:r>
          <w:rPr>
            <w:rStyle w:val="Hyperlink"/>
          </w:rPr>
          <w:t xml:space="preserve">introduction</w:t>
        </w:r>
      </w:hyperlink>
      <w:r>
        <w:t xml:space="preserve"> </w:t>
      </w:r>
      <w:r>
        <w:t xml:space="preserve">section,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w:t>
      </w:r>
      <w:r>
        <w:t xml:space="preserve">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w:t>
      </w:r>
      <w:r>
        <w:t xml:space="preserve">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w:t>
      </w:r>
      <w:r>
        <w:t xml:space="preserve">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w:t>
      </w:r>
      <w:r>
        <w:t xml:space="preserve">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w:t>
      </w:r>
      <w:r>
        <w:t xml:space="preserve">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w:t>
      </w:r>
      <w:r>
        <w:t xml:space="preserve">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w:t>
      </w:r>
      <w:r>
        <w:t xml:space="preserve">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w:t>
      </w:r>
      <w:r>
        <w:t xml:space="preserve"> </w:t>
      </w:r>
      <w:r>
        <w:t xml:space="preserve">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r>
        <w:t xml:space="preserve"> </w:t>
      </w:r>
      <w:r>
        <w:t xml:space="preserve">The seemingly minuscule volume fraction of lung studied (around 1 % or less) in this manuscript is—according to the stereological guidelines</w:t>
      </w:r>
      <w:r>
        <w:t xml:space="preserve"> </w:t>
      </w:r>
      <w:r>
        <w:t xml:space="preserve">(</w:t>
      </w:r>
      <w:hyperlink w:anchor="ref-dNc8FfNn">
        <w:r>
          <w:rPr>
            <w:rStyle w:val="Hyperlink"/>
          </w:rPr>
          <w:t xml:space="preserve">17</w:t>
        </w:r>
      </w:hyperlink>
      <w:r>
        <w:t xml:space="preserve">)</w:t>
      </w:r>
      <w:r>
        <w:t xml:space="preserve">—ample volume to gain mathematically correct results if the stereology is carried out correctly as we have done to the best of our knowledge.</w:t>
      </w:r>
      <w:r>
        <w:t xml:space="preserve"> </w:t>
      </w:r>
      <w:r>
        <w:t xml:space="preserve">For human lungs for example a so-called sampling cascade is used to study details down to the thickness of the air-blood barrier (0.5 µm, see Figure 1 of</w:t>
      </w:r>
      <w:r>
        <w:t xml:space="preserve"> </w:t>
      </w:r>
      <w:r>
        <w:t xml:space="preserve">(</w:t>
      </w:r>
      <w:hyperlink w:anchor="ref-1CLJ32t5m">
        <w:r>
          <w:rPr>
            <w:rStyle w:val="Hyperlink"/>
          </w:rPr>
          <w:t xml:space="preserve">50</w:t>
        </w:r>
      </w:hyperlink>
      <w:r>
        <w:t xml:space="preserve">)</w:t>
      </w:r>
      <w:r>
        <w:t xml:space="preserve"> </w:t>
      </w:r>
      <w:r>
        <w:t xml:space="preserve">for a visualization of this cascade).</w:t>
      </w:r>
      <w:r>
        <w:t xml:space="preserve"> </w:t>
      </w:r>
      <w:r>
        <w:t xml:space="preserve">The studied volume in this case is several decimal powers less than what is studied here and still mathematically sound and accepted.</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assessment based on a very different imaging method and with two different persons performing the stereological assessment at two very different points in time.</w:t>
      </w:r>
      <w:r>
        <w:t xml:space="preserve"> </w:t>
      </w:r>
      <w:r>
        <w:t xml:space="preserve">Furthermore, we used the number of acini as determined by Barre et al. </w:t>
      </w:r>
      <w:r>
        <w:t xml:space="preserve">(</w:t>
      </w:r>
      <w:hyperlink w:anchor="ref-uFNlWogb">
        <w:r>
          <w:rPr>
            <w:rStyle w:val="Hyperlink"/>
          </w:rPr>
          <w:t xml:space="preserve">3</w:t>
        </w:r>
      </w:hyperlink>
      <w:r>
        <w:t xml:space="preserve">)</w:t>
      </w:r>
      <w:r>
        <w:t xml:space="preserve"> </w:t>
      </w:r>
      <w:r>
        <w:t xml:space="preserve">which represents a dataset obtained by a third team and which introduces the effect of error propagation.</w:t>
      </w:r>
      <w:r>
        <w:t xml:space="preserve"> </w:t>
      </w:r>
      <w:r>
        <w:t xml:space="preserve">This may explain the relative factor of 5.04 that we found as a difference.</w:t>
      </w:r>
      <w:r>
        <w:t xml:space="preserve"> </w:t>
      </w:r>
      <w:r>
        <w:t xml:space="preserve">Even if it was shown that the right lower lobe represents a valid sample for the entire lung</w:t>
      </w:r>
      <w:r>
        <w:t xml:space="preserve"> </w:t>
      </w:r>
      <w:r>
        <w:t xml:space="preserve">(</w:t>
      </w:r>
      <w:hyperlink w:anchor="ref-14OP85b2F">
        <w:r>
          <w:rPr>
            <w:rStyle w:val="Hyperlink"/>
          </w:rPr>
          <w:t xml:space="preserve">2</w:t>
        </w:r>
      </w:hyperlink>
      <w:r>
        <w:t xml:space="preserve">,</w:t>
      </w:r>
      <w:r>
        <w:t xml:space="preserve"> </w:t>
      </w:r>
      <w:hyperlink w:anchor="ref-I9TmP6IU">
        <w:r>
          <w:rPr>
            <w:rStyle w:val="Hyperlink"/>
          </w:rPr>
          <w:t xml:space="preserve">53</w:t>
        </w:r>
      </w:hyperlink>
      <w:r>
        <w:t xml:space="preserve">)</w:t>
      </w:r>
      <w:r>
        <w:t xml:space="preserve">, we cannot rule out a contribution to the factor by regional differences in the lung which we can not account for in the present study.</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w:t>
      </w:r>
      <w:r>
        <w:t xml:space="preserve">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w:t>
      </w:r>
      <w:r>
        <w:t xml:space="preserve">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w:t>
      </w:r>
      <w:r>
        <w:t xml:space="preserve"> </w:t>
      </w:r>
      <w:r>
        <w:t xml:space="preserve">(</w:t>
      </w:r>
      <w:hyperlink w:anchor="ref-19jBv0ima">
        <w:r>
          <w:rPr>
            <w:rStyle w:val="Hyperlink"/>
          </w:rPr>
          <w:t xml:space="preserve">52</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w:t>
      </w:r>
      <w:r>
        <w:t xml:space="preserve">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w:t>
      </w:r>
      <w:r>
        <w:t xml:space="preserve">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w:t>
      </w:r>
      <w:r>
        <w:t xml:space="preserve">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w:t>
      </w:r>
      <w:r>
        <w:t xml:space="preserve">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w:t>
      </w:r>
      <w:r>
        <w:t xml:space="preserve">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in precise accordance with data calculated from previous studies, they match well relatively.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4"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1CLJ32t5m"/>
    <w:p>
      <w:pPr>
        <w:pStyle w:val="Bibliography"/>
      </w:pPr>
      <w:r>
        <w:t xml:space="preserve">50.</w:t>
      </w:r>
      <w:r>
        <w:t xml:space="preserve"> </w:t>
      </w:r>
      <w:r>
        <w:rPr>
          <w:b/>
        </w:rPr>
        <w:t xml:space="preserve">Weibel ER</w:t>
      </w:r>
      <w:r>
        <w:t xml:space="preserve">,</w:t>
      </w:r>
      <w:r>
        <w:t xml:space="preserve"> </w:t>
      </w:r>
      <w:r>
        <w:rPr>
          <w:b/>
        </w:rPr>
        <w:t xml:space="preserve">Hsia CCW</w:t>
      </w:r>
      <w:r>
        <w:t xml:space="preserve">,</w:t>
      </w:r>
      <w:r>
        <w:t xml:space="preserve"> </w:t>
      </w:r>
      <w:r>
        <w:rPr>
          <w:b/>
        </w:rPr>
        <w:t xml:space="preserve">Ochs M</w:t>
      </w:r>
      <w:r>
        <w:t xml:space="preserve">. How much is there really? Why stereology is essential in lung morphometry.</w:t>
      </w:r>
      <w:r>
        <w:t xml:space="preserve"> </w:t>
      </w:r>
      <w:r>
        <w:rPr>
          <w:i/>
        </w:rPr>
        <w:t xml:space="preserve">Journal of Applied Physiology</w:t>
      </w:r>
      <w:r>
        <w:t xml:space="preserve"> </w:t>
      </w:r>
      <w:r>
        <w:t xml:space="preserve">102: 459–467, 2007. doi:</w:t>
      </w:r>
      <w:r>
        <w:t xml:space="preserve"> </w:t>
      </w:r>
      <w:hyperlink r:id="rId195">
        <w:r>
          <w:rPr>
            <w:rStyle w:val="Hyperlink"/>
          </w:rPr>
          <w:t xml:space="preserve">10.1152/japplphysiol.00808.2006</w:t>
        </w:r>
      </w:hyperlink>
      <w:r>
        <w:t xml:space="preserve">.</w:t>
      </w:r>
    </w:p>
    <w:bookmarkEnd w:id="196"/>
    <w:bookmarkStart w:id="198" w:name="ref-CPhMy3Ie"/>
    <w:p>
      <w:pPr>
        <w:pStyle w:val="Bibliography"/>
      </w:pPr>
      <w:r>
        <w:t xml:space="preserve">51.</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7">
        <w:r>
          <w:rPr>
            <w:rStyle w:val="Hyperlink"/>
          </w:rPr>
          <w:t xml:space="preserve">10.1111/j.1469-7580.2005.00413.x</w:t>
        </w:r>
      </w:hyperlink>
      <w:r>
        <w:t xml:space="preserve">.</w:t>
      </w:r>
    </w:p>
    <w:bookmarkEnd w:id="198"/>
    <w:bookmarkStart w:id="199" w:name="ref-19jBv0ima"/>
    <w:p>
      <w:pPr>
        <w:pStyle w:val="Bibliography"/>
      </w:pPr>
      <w:r>
        <w:t xml:space="preserve">52.</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9"/>
    <w:bookmarkStart w:id="201" w:name="ref-I9TmP6IU"/>
    <w:p>
      <w:pPr>
        <w:pStyle w:val="Bibliography"/>
      </w:pPr>
      <w:r>
        <w:t xml:space="preserve">53.</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200">
        <w:r>
          <w:rPr>
            <w:rStyle w:val="Hyperlink"/>
          </w:rPr>
          <w:t xml:space="preserve">10.3109/01902149009087879</w:t>
        </w:r>
      </w:hyperlink>
      <w:r>
        <w:t xml:space="preserve">.</w:t>
      </w:r>
    </w:p>
    <w:bookmarkEnd w:id="201"/>
    <w:bookmarkStart w:id="203" w:name="ref-199ALtdJt"/>
    <w:p>
      <w:pPr>
        <w:pStyle w:val="Bibliography"/>
      </w:pPr>
      <w:r>
        <w:t xml:space="preserve">54. Replacement, Reduction, Refinement [Online].</w:t>
      </w:r>
      <w:r>
        <w:t xml:space="preserve"> </w:t>
      </w:r>
      <w:r>
        <w:rPr>
          <w:i/>
        </w:rPr>
        <w:t xml:space="preserve">ALTEX</w:t>
      </w:r>
      <w:r>
        <w:t xml:space="preserve"> </w:t>
      </w:r>
      <w:r>
        <w:t xml:space="preserve">19: 73–78, 2002.</w:t>
      </w:r>
      <w:r>
        <w:t xml:space="preserve"> </w:t>
      </w:r>
      <w:hyperlink r:id="rId202">
        <w:r>
          <w:rPr>
            <w:rStyle w:val="Hyperlink"/>
          </w:rPr>
          <w:t xml:space="preserve">https://www.altex.org/index.php/altex/article/view/1106</w:t>
        </w:r>
      </w:hyperlink>
      <w:r>
        <w:t xml:space="preserve"> </w:t>
      </w:r>
      <w:r>
        <w:t xml:space="preserve">[18 Jan. 2021].</w:t>
      </w:r>
    </w:p>
    <w:bookmarkEnd w:id="203"/>
    <w:bookmarkEnd w:id="204"/>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a18ba04b97dde37819acb8fe14c660c56a246eac"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a18ba04b97dde37819acb8fe14c660c56a246eac" TargetMode="External" /><Relationship Type="http://schemas.openxmlformats.org/officeDocument/2006/relationships/hyperlink" Id="rId23" Target="https://habi.github.io/acinar-analysis-manuscript/v/a18ba04b97dde37819acb8fe14c660c56a246eac/"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a18ba04)" TargetMode="External" /><Relationship Type="http://schemas.openxmlformats.org/officeDocument/2006/relationships/hyperlink" Id="rId36" Target="mailto:schittny@ana.unibe.ch?subject=Feedback%20regarding%20the%20acinus%20manuscript%20(a18ba04)"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7"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95" Target="https://doi.org/10.1152/japplphysiol.00808.2006"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200"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a18ba04b97dde37819acb8fe14c660c56a246eac"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a18ba04b97dde37819acb8fe14c660c56a246eac" TargetMode="External" /><Relationship Type="http://schemas.openxmlformats.org/officeDocument/2006/relationships/hyperlink" Id="rId23" Target="https://habi.github.io/acinar-analysis-manuscript/v/a18ba04b97dde37819acb8fe14c660c56a246eac/"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2"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a18ba04)" TargetMode="External" /><Relationship Type="http://schemas.openxmlformats.org/officeDocument/2006/relationships/hyperlink" Id="rId36" Target="mailto:schittny@ana.unibe.ch?subject=Feedback%20regarding%20the%20acinus%20manuscript%20(a18ba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2021-01-18T16:03:43Z</dcterms:created>
  <dcterms:modified xsi:type="dcterms:W3CDTF">2021-01-18T16:03:43Z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2021-01-18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